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193728B4"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r w:rsidR="00470FA7">
        <w:rPr>
          <w:sz w:val="32"/>
          <w:szCs w:val="32"/>
        </w:rPr>
        <w:t>10</w:t>
      </w:r>
      <w:r w:rsidR="00426BBD">
        <w:rPr>
          <w:sz w:val="32"/>
          <w:szCs w:val="32"/>
        </w:rPr>
        <w:t>/</w:t>
      </w:r>
      <w:r w:rsidR="00470FA7">
        <w:rPr>
          <w:sz w:val="32"/>
          <w:szCs w:val="32"/>
        </w:rPr>
        <w:t>10</w:t>
      </w:r>
      <w:r w:rsidR="00426BBD">
        <w:rPr>
          <w:sz w:val="32"/>
          <w:szCs w:val="32"/>
        </w:rPr>
        <w:t>/</w:t>
      </w:r>
      <w:r w:rsidR="00470FA7">
        <w:rPr>
          <w:sz w:val="32"/>
          <w:szCs w:val="32"/>
        </w:rPr>
        <w:t>2024</w:t>
      </w:r>
    </w:p>
    <w:p w14:paraId="29B23637" w14:textId="3D6272CB" w:rsidR="00D30CC0" w:rsidRDefault="00D30CC0">
      <w:pPr>
        <w:pStyle w:val="BodyTextIndent"/>
        <w:jc w:val="center"/>
        <w:rPr>
          <w:sz w:val="32"/>
          <w:szCs w:val="32"/>
        </w:rPr>
      </w:pPr>
      <w:r>
        <w:rPr>
          <w:sz w:val="32"/>
          <w:szCs w:val="32"/>
        </w:rPr>
        <w:t xml:space="preserve">PUC Approved on </w:t>
      </w:r>
      <w:r w:rsidR="00470FA7">
        <w:rPr>
          <w:sz w:val="32"/>
          <w:szCs w:val="32"/>
        </w:rPr>
        <w:t>11/21/2024</w:t>
      </w:r>
    </w:p>
    <w:p w14:paraId="51CCD585" w14:textId="79A42D1C" w:rsidR="00D62FE5" w:rsidRPr="00D62FE5" w:rsidRDefault="00D62FE5">
      <w:pPr>
        <w:pStyle w:val="BodyTextIndent"/>
        <w:jc w:val="center"/>
        <w:rPr>
          <w:sz w:val="32"/>
          <w:szCs w:val="32"/>
        </w:rPr>
      </w:pPr>
      <w:r w:rsidRPr="00F90EF2">
        <w:rPr>
          <w:sz w:val="32"/>
          <w:szCs w:val="32"/>
        </w:rPr>
        <w:t xml:space="preserve">Effective Date of </w:t>
      </w:r>
      <w:r w:rsidR="000A3EF2">
        <w:rPr>
          <w:sz w:val="32"/>
          <w:szCs w:val="32"/>
        </w:rPr>
        <w:t>1</w:t>
      </w:r>
      <w:r w:rsidR="00782438">
        <w:rPr>
          <w:sz w:val="32"/>
          <w:szCs w:val="32"/>
        </w:rPr>
        <w:t>/</w:t>
      </w:r>
      <w:r w:rsidR="000A3EF2">
        <w:rPr>
          <w:sz w:val="32"/>
          <w:szCs w:val="32"/>
        </w:rPr>
        <w:t>1</w:t>
      </w:r>
      <w:r w:rsidRPr="00F90EF2">
        <w:rPr>
          <w:sz w:val="32"/>
          <w:szCs w:val="32"/>
        </w:rPr>
        <w:t>/</w:t>
      </w:r>
      <w:r w:rsidR="006F34CB" w:rsidRPr="00F90EF2">
        <w:rPr>
          <w:sz w:val="32"/>
          <w:szCs w:val="32"/>
        </w:rPr>
        <w:t>20</w:t>
      </w:r>
      <w:r w:rsidR="00032A17">
        <w:rPr>
          <w:sz w:val="32"/>
          <w:szCs w:val="32"/>
        </w:rPr>
        <w:t>2</w:t>
      </w:r>
      <w:r w:rsidR="00F31FDF">
        <w:rPr>
          <w:sz w:val="32"/>
          <w:szCs w:val="32"/>
        </w:rPr>
        <w:t>5</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7D7BBF">
      <w:pPr>
        <w:pStyle w:val="TOC3"/>
        <w:rPr>
          <w:rFonts w:asciiTheme="minorHAnsi" w:eastAsiaTheme="minorEastAsia" w:hAnsiTheme="minorHAnsi" w:cstheme="minorBidi"/>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7D7BBF">
      <w:pPr>
        <w:pStyle w:val="TOC3"/>
        <w:rPr>
          <w:rFonts w:asciiTheme="minorHAnsi" w:eastAsiaTheme="minorEastAsia" w:hAnsiTheme="minorHAnsi" w:cstheme="minorBidi"/>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7D7BBF">
      <w:pPr>
        <w:pStyle w:val="TOC3"/>
        <w:rPr>
          <w:rFonts w:asciiTheme="minorHAnsi" w:eastAsiaTheme="minorEastAsia" w:hAnsiTheme="minorHAnsi" w:cstheme="minorBidi"/>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7D7BBF">
      <w:pPr>
        <w:pStyle w:val="TOC3"/>
        <w:rPr>
          <w:rFonts w:asciiTheme="minorHAnsi" w:eastAsiaTheme="minorEastAsia" w:hAnsiTheme="minorHAnsi" w:cstheme="minorBidi"/>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139626030"/>
      <w:r>
        <w:lastRenderedPageBreak/>
        <w:t>Introduction</w:t>
      </w:r>
      <w:bookmarkEnd w:id="0"/>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139626031"/>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146E1A82" w14:textId="51228DD5" w:rsidR="00B320AB" w:rsidRPr="003A24F9" w:rsidRDefault="00B320AB" w:rsidP="0051646F">
      <w:pPr>
        <w:pStyle w:val="H3"/>
        <w:ind w:left="0" w:firstLine="0"/>
        <w:jc w:val="both"/>
      </w:pPr>
      <w:bookmarkStart w:id="3" w:name="_Toc342049963"/>
      <w:bookmarkStart w:id="4" w:name="_Toc139626032"/>
      <w:r w:rsidRPr="003A24F9">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Non-Spin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 xml:space="preserve">identified as having an increased potential of high forecast </w:t>
      </w:r>
      <w:r w:rsidR="00F802A7" w:rsidRPr="00F802A7">
        <w:lastRenderedPageBreak/>
        <w:t>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1722DC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t>
      </w:r>
      <w:r w:rsidR="00F84F3B">
        <w:t xml:space="preserve">The COPs and MTLF used for </w:t>
      </w:r>
      <w:r w:rsidR="00F84F3B">
        <w:rPr>
          <w:iCs/>
        </w:rPr>
        <w:t xml:space="preserve">HE23, HE24, HE01 and HE02 </w:t>
      </w:r>
      <w:r w:rsidR="00F84F3B">
        <w:t>are the updated values as of four hours prior to each Operating Hour. For remaining hours, t</w:t>
      </w:r>
      <w:r>
        <w:t xml:space="preserve">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EE426EE" w:rsidR="005C06D5"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w:t>
      </w:r>
      <w:r w:rsidRPr="00C533B6">
        <w:rPr>
          <w:iCs/>
        </w:rPr>
        <w:t xml:space="preserve">.  </w:t>
      </w:r>
      <w:r w:rsidR="00714F0F" w:rsidRPr="00C533B6">
        <w:rPr>
          <w:iCs/>
        </w:rPr>
        <w:t>A fixed value of 68</w:t>
      </w:r>
      <w:r w:rsidR="00714F0F" w:rsidRPr="00C533B6">
        <w:rPr>
          <w:iCs/>
          <w:vertAlign w:val="superscript"/>
        </w:rPr>
        <w:t>th</w:t>
      </w:r>
      <w:r w:rsidR="00714F0F" w:rsidRPr="00C533B6">
        <w:rPr>
          <w:iCs/>
        </w:rPr>
        <w:t xml:space="preserve"> percentile will be assigned to </w:t>
      </w:r>
      <w:r w:rsidR="00000CB5" w:rsidRPr="00C533B6">
        <w:rPr>
          <w:iCs/>
        </w:rPr>
        <w:t>HE23, HE24, HE01 and HE02</w:t>
      </w:r>
      <w:r w:rsidR="00787295" w:rsidRPr="00C533B6">
        <w:rPr>
          <w:iCs/>
        </w:rPr>
        <w:t xml:space="preserve"> to the net load forecast uncertainty calculated previously</w:t>
      </w:r>
      <w:r w:rsidR="00000CB5" w:rsidRPr="00C533B6">
        <w:rPr>
          <w:iCs/>
        </w:rPr>
        <w:t xml:space="preserve">. </w:t>
      </w:r>
      <w:r w:rsidR="00C16F0F" w:rsidRPr="00C533B6">
        <w:rPr>
          <w:iCs/>
        </w:rPr>
        <w:t>Additionally, i</w:t>
      </w:r>
      <w:r w:rsidR="00787295" w:rsidRPr="00C533B6">
        <w:rPr>
          <w:iCs/>
        </w:rPr>
        <w:t xml:space="preserve">n all seasons excluding Winter, </w:t>
      </w:r>
      <w:r w:rsidR="00C16F0F" w:rsidRPr="00C533B6">
        <w:rPr>
          <w:iCs/>
        </w:rPr>
        <w:t xml:space="preserve">in hours </w:t>
      </w:r>
      <w:r w:rsidR="00E2671A" w:rsidRPr="00C533B6">
        <w:rPr>
          <w:iCs/>
        </w:rPr>
        <w:t xml:space="preserve">HE03, HE04, HE05, HE06 </w:t>
      </w:r>
      <w:r w:rsidR="00C16F0F" w:rsidRPr="00C533B6">
        <w:rPr>
          <w:iCs/>
        </w:rPr>
        <w:t>a fixed value of 68</w:t>
      </w:r>
      <w:r w:rsidR="00C16F0F" w:rsidRPr="00C533B6">
        <w:rPr>
          <w:iCs/>
          <w:vertAlign w:val="superscript"/>
        </w:rPr>
        <w:t>th</w:t>
      </w:r>
      <w:r w:rsidR="00C16F0F" w:rsidRPr="00C533B6">
        <w:rPr>
          <w:iCs/>
        </w:rPr>
        <w:t xml:space="preserve"> percentile will be assigned for</w:t>
      </w:r>
      <w:r w:rsidR="00787295" w:rsidRPr="00C533B6">
        <w:rPr>
          <w:iCs/>
        </w:rPr>
        <w:t xml:space="preserve"> the net load forecast uncertainty calculated previously</w:t>
      </w:r>
      <w:r w:rsidR="00285156" w:rsidRPr="00C533B6">
        <w:rPr>
          <w:iCs/>
        </w:rPr>
        <w:t>.</w:t>
      </w:r>
      <w:r w:rsidR="00E2671A">
        <w:rPr>
          <w:iCs/>
        </w:rPr>
        <w:t xml:space="preserve"> </w:t>
      </w:r>
      <w:r w:rsidR="00285156">
        <w:rPr>
          <w:iCs/>
        </w:rPr>
        <w:t>For the remaining hours, a</w:t>
      </w:r>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r w:rsidR="00F64B1D">
        <w:rPr>
          <w:iCs/>
        </w:rPr>
        <w:t xml:space="preserve"> </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2473F475"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w:t>
      </w:r>
      <w:r w:rsidR="00EF04B5">
        <w:rPr>
          <w:iCs/>
        </w:rPr>
        <w:lastRenderedPageBreak/>
        <w:t>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p>
    <w:p w14:paraId="77A851CC" w14:textId="3B3D76B0" w:rsidR="00BF7144"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2BC9596A" w14:textId="45D8114F" w:rsidR="00B320AB" w:rsidRPr="003A24F9" w:rsidRDefault="00CF54B2" w:rsidP="0051646F">
      <w:pPr>
        <w:pStyle w:val="H3"/>
        <w:tabs>
          <w:tab w:val="clear" w:pos="1080"/>
          <w:tab w:val="left" w:pos="7485"/>
        </w:tabs>
        <w:ind w:left="0" w:firstLine="0"/>
        <w:jc w:val="both"/>
      </w:pPr>
      <w:bookmarkStart w:id="7" w:name="_Toc342049964"/>
      <w:bookmarkStart w:id="8" w:name="_Toc139626033"/>
      <w:r>
        <w:t>Responsive</w:t>
      </w:r>
      <w:r w:rsidR="00B320AB" w:rsidRPr="003A24F9">
        <w:t xml:space="preserve"> Reserve (RRS) Requirement</w:t>
      </w:r>
      <w:r w:rsidR="006C49B5" w:rsidRPr="003A24F9">
        <w:t xml:space="preserve"> Details</w:t>
      </w:r>
      <w:bookmarkEnd w:id="7"/>
      <w:bookmarkEnd w:id="8"/>
      <w:r w:rsidR="00B320AB" w:rsidRPr="003A24F9">
        <w:t xml:space="preserve"> </w:t>
      </w:r>
    </w:p>
    <w:p w14:paraId="6677FE17" w14:textId="585C84CF"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r w:rsidR="00CD25CF">
        <w:t>365</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055A5036" w:rsidR="00C90668" w:rsidRDefault="00C90668" w:rsidP="00A63BC3">
      <w:pPr>
        <w:spacing w:after="240"/>
        <w:jc w:val="both"/>
        <w:rPr>
          <w:szCs w:val="20"/>
        </w:rPr>
      </w:pPr>
      <w:r w:rsidRPr="00E81DE2">
        <w:lastRenderedPageBreak/>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77777777" w:rsidR="00AE3B80" w:rsidRPr="003A24F9" w:rsidRDefault="00AE3B80" w:rsidP="00AE3B80">
      <w:pPr>
        <w:pStyle w:val="H3"/>
        <w:ind w:left="0" w:firstLine="0"/>
        <w:jc w:val="both"/>
      </w:pPr>
      <w:bookmarkStart w:id="9" w:name="_Toc139626034"/>
      <w:r>
        <w:rPr>
          <w:lang w:val="en-US"/>
        </w:rPr>
        <w:t>ERCOT Contingency Reserve Service (ECRS)</w:t>
      </w:r>
      <w:r w:rsidRPr="003A24F9">
        <w:t xml:space="preserve"> Details</w:t>
      </w:r>
      <w:bookmarkEnd w:id="9"/>
    </w:p>
    <w:p w14:paraId="48CA9531" w14:textId="77777777" w:rsidR="00AE3B80" w:rsidRDefault="00AE3B80" w:rsidP="00AE3B80">
      <w:pPr>
        <w:pStyle w:val="Heading5"/>
        <w:spacing w:after="100" w:afterAutospacing="1"/>
        <w:jc w:val="both"/>
      </w:pPr>
      <w:r>
        <w:t>Introduction</w:t>
      </w:r>
    </w:p>
    <w:p w14:paraId="555AD205" w14:textId="773ABDE7"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05FDEA6"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rsidR="00CD25CF">
        <w:t xml:space="preserve">maximum </w:t>
      </w:r>
      <w:r>
        <w:t xml:space="preserve">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CD118C"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4454F47D" w:rsidR="00AE3B80" w:rsidRDefault="00AE3B80" w:rsidP="00AE3B80">
      <w:pPr>
        <w:pStyle w:val="BodyTextNumbered"/>
        <w:ind w:left="0" w:firstLine="0"/>
        <w:jc w:val="both"/>
        <w:rPr>
          <w:iCs/>
        </w:rPr>
      </w:pPr>
      <w:r>
        <w:rPr>
          <w:iCs/>
        </w:rPr>
        <w:lastRenderedPageBreak/>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p>
    <w:p w14:paraId="3FF9CC70" w14:textId="0A343C40"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w:t>
      </w:r>
    </w:p>
    <w:p w14:paraId="33C4F140" w14:textId="77777777" w:rsidR="00FE0904" w:rsidRDefault="00FE0904" w:rsidP="006C6E56">
      <w:pPr>
        <w:pStyle w:val="BodyTextNumbered"/>
        <w:ind w:left="0" w:firstLine="0"/>
        <w:jc w:val="both"/>
      </w:pPr>
    </w:p>
    <w:sectPr w:rsidR="00FE0904" w:rsidSect="00CF54B2">
      <w:footerReference w:type="even" r:id="rId8"/>
      <w:footerReference w:type="default" r:id="rId9"/>
      <w:footerReference w:type="first" r:id="rId10"/>
      <w:pgSz w:w="12240" w:h="15840" w:code="1"/>
      <w:pgMar w:top="1296"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E348" w14:textId="77777777" w:rsidR="00AB7B9D" w:rsidRDefault="00AB7B9D">
      <w:r>
        <w:separator/>
      </w:r>
    </w:p>
  </w:endnote>
  <w:endnote w:type="continuationSeparator" w:id="0">
    <w:p w14:paraId="199FF49F" w14:textId="77777777" w:rsidR="00AB7B9D" w:rsidRDefault="00AB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ECC13F5"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70328F">
      <w:rPr>
        <w:sz w:val="20"/>
      </w:rPr>
      <w:t>1</w:t>
    </w:r>
    <w:r w:rsidR="00CA31C1">
      <w:rPr>
        <w:sz w:val="20"/>
      </w:rPr>
      <w:t>0</w:t>
    </w:r>
    <w:r w:rsidR="0070328F">
      <w:rPr>
        <w:sz w:val="20"/>
      </w:rPr>
      <w:t>1</w:t>
    </w:r>
    <w:r w:rsidR="00CA31C1">
      <w:rPr>
        <w:sz w:val="20"/>
      </w:rPr>
      <w:t>2</w:t>
    </w:r>
    <w:r w:rsidR="00F31FDF">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39156" w14:textId="77777777" w:rsidR="00AB7B9D" w:rsidRDefault="00AB7B9D">
      <w:r>
        <w:separator/>
      </w:r>
    </w:p>
  </w:footnote>
  <w:footnote w:type="continuationSeparator" w:id="0">
    <w:p w14:paraId="37DCAE11" w14:textId="77777777" w:rsidR="00AB7B9D" w:rsidRDefault="00AB7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3F7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05D7"/>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89B"/>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72B"/>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2166"/>
    <w:rsid w:val="002E3116"/>
    <w:rsid w:val="002E3BD3"/>
    <w:rsid w:val="002E6F6A"/>
    <w:rsid w:val="002E7C37"/>
    <w:rsid w:val="002F217F"/>
    <w:rsid w:val="002F2DEF"/>
    <w:rsid w:val="002F5095"/>
    <w:rsid w:val="002F592C"/>
    <w:rsid w:val="002F5B81"/>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1A47"/>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57F"/>
    <w:rsid w:val="00431F1A"/>
    <w:rsid w:val="00434CA2"/>
    <w:rsid w:val="00436119"/>
    <w:rsid w:val="004373F9"/>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B04ED"/>
    <w:rsid w:val="004C00F4"/>
    <w:rsid w:val="004C03AD"/>
    <w:rsid w:val="004C0C38"/>
    <w:rsid w:val="004C1783"/>
    <w:rsid w:val="004C2A6B"/>
    <w:rsid w:val="004C364B"/>
    <w:rsid w:val="004C4B51"/>
    <w:rsid w:val="004D04C0"/>
    <w:rsid w:val="004D0893"/>
    <w:rsid w:val="004D0E57"/>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6465"/>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2314"/>
    <w:rsid w:val="0069310D"/>
    <w:rsid w:val="006A44F5"/>
    <w:rsid w:val="006A4739"/>
    <w:rsid w:val="006A639D"/>
    <w:rsid w:val="006A63B5"/>
    <w:rsid w:val="006A6784"/>
    <w:rsid w:val="006B40AB"/>
    <w:rsid w:val="006C49B5"/>
    <w:rsid w:val="006C51BC"/>
    <w:rsid w:val="006C525D"/>
    <w:rsid w:val="006C586A"/>
    <w:rsid w:val="006C5A25"/>
    <w:rsid w:val="006C6A8A"/>
    <w:rsid w:val="006C6E56"/>
    <w:rsid w:val="006C7A80"/>
    <w:rsid w:val="006D07F8"/>
    <w:rsid w:val="006D44E7"/>
    <w:rsid w:val="006D634D"/>
    <w:rsid w:val="006E1613"/>
    <w:rsid w:val="006E16F0"/>
    <w:rsid w:val="006E3234"/>
    <w:rsid w:val="006E4214"/>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46DD4"/>
    <w:rsid w:val="00750269"/>
    <w:rsid w:val="00754022"/>
    <w:rsid w:val="0075445E"/>
    <w:rsid w:val="0075586A"/>
    <w:rsid w:val="007569F0"/>
    <w:rsid w:val="007579A6"/>
    <w:rsid w:val="007635DD"/>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6C03"/>
    <w:rsid w:val="007D6C29"/>
    <w:rsid w:val="007D7BBF"/>
    <w:rsid w:val="007E1A0B"/>
    <w:rsid w:val="007E262C"/>
    <w:rsid w:val="007E33DF"/>
    <w:rsid w:val="007E34EA"/>
    <w:rsid w:val="007E3C4F"/>
    <w:rsid w:val="007E3F05"/>
    <w:rsid w:val="007E41AB"/>
    <w:rsid w:val="007E47E9"/>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4745B"/>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6562"/>
    <w:rsid w:val="008E7D43"/>
    <w:rsid w:val="008F217D"/>
    <w:rsid w:val="008F5F94"/>
    <w:rsid w:val="008F6371"/>
    <w:rsid w:val="008F6718"/>
    <w:rsid w:val="008F68E5"/>
    <w:rsid w:val="00903249"/>
    <w:rsid w:val="009038A3"/>
    <w:rsid w:val="0090453D"/>
    <w:rsid w:val="00904E38"/>
    <w:rsid w:val="00905568"/>
    <w:rsid w:val="00905644"/>
    <w:rsid w:val="00906321"/>
    <w:rsid w:val="00910320"/>
    <w:rsid w:val="00911ABD"/>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C7204"/>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3D8"/>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35F4"/>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B7B9D"/>
    <w:rsid w:val="00AC0A71"/>
    <w:rsid w:val="00AC2F42"/>
    <w:rsid w:val="00AC7334"/>
    <w:rsid w:val="00AD1297"/>
    <w:rsid w:val="00AD13B0"/>
    <w:rsid w:val="00AD253E"/>
    <w:rsid w:val="00AD47CD"/>
    <w:rsid w:val="00AD47D2"/>
    <w:rsid w:val="00AD5A36"/>
    <w:rsid w:val="00AD6E5C"/>
    <w:rsid w:val="00AD77F2"/>
    <w:rsid w:val="00AE37A7"/>
    <w:rsid w:val="00AE3B80"/>
    <w:rsid w:val="00AE42C2"/>
    <w:rsid w:val="00AE6987"/>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6F79"/>
    <w:rsid w:val="00B77501"/>
    <w:rsid w:val="00B77D54"/>
    <w:rsid w:val="00B81D6B"/>
    <w:rsid w:val="00B928FE"/>
    <w:rsid w:val="00B9575A"/>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7144"/>
    <w:rsid w:val="00BF733B"/>
    <w:rsid w:val="00BF7A03"/>
    <w:rsid w:val="00BF7A67"/>
    <w:rsid w:val="00C02D78"/>
    <w:rsid w:val="00C0538F"/>
    <w:rsid w:val="00C06F2F"/>
    <w:rsid w:val="00C079E6"/>
    <w:rsid w:val="00C10B05"/>
    <w:rsid w:val="00C12172"/>
    <w:rsid w:val="00C125D4"/>
    <w:rsid w:val="00C167F7"/>
    <w:rsid w:val="00C16F0F"/>
    <w:rsid w:val="00C223F6"/>
    <w:rsid w:val="00C2453B"/>
    <w:rsid w:val="00C2496E"/>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3B6"/>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966"/>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9EA"/>
    <w:rsid w:val="00CE7CB1"/>
    <w:rsid w:val="00CF1B8A"/>
    <w:rsid w:val="00CF1C19"/>
    <w:rsid w:val="00CF479A"/>
    <w:rsid w:val="00CF4CA4"/>
    <w:rsid w:val="00CF54B2"/>
    <w:rsid w:val="00CF77E2"/>
    <w:rsid w:val="00D013EB"/>
    <w:rsid w:val="00D02BA5"/>
    <w:rsid w:val="00D0326A"/>
    <w:rsid w:val="00D03865"/>
    <w:rsid w:val="00D04ED5"/>
    <w:rsid w:val="00D057C3"/>
    <w:rsid w:val="00D058E5"/>
    <w:rsid w:val="00D05F37"/>
    <w:rsid w:val="00D07CBD"/>
    <w:rsid w:val="00D10934"/>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0CC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27DC"/>
    <w:rsid w:val="00D93088"/>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0ED"/>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4C9C"/>
    <w:rsid w:val="00E15173"/>
    <w:rsid w:val="00E158FF"/>
    <w:rsid w:val="00E16CFA"/>
    <w:rsid w:val="00E20730"/>
    <w:rsid w:val="00E21052"/>
    <w:rsid w:val="00E219EC"/>
    <w:rsid w:val="00E2286E"/>
    <w:rsid w:val="00E2671A"/>
    <w:rsid w:val="00E27F82"/>
    <w:rsid w:val="00E302F5"/>
    <w:rsid w:val="00E326DF"/>
    <w:rsid w:val="00E34760"/>
    <w:rsid w:val="00E34F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54CB"/>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1FDF"/>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84F3B"/>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0A9D83B0-CA27-4767-AFCC-F612EE17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3280</Words>
  <Characters>18700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21937</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Hinojosa, Luis</cp:lastModifiedBy>
  <cp:revision>6</cp:revision>
  <cp:lastPrinted>2013-11-25T23:07:00Z</cp:lastPrinted>
  <dcterms:created xsi:type="dcterms:W3CDTF">2024-12-17T17:19:00Z</dcterms:created>
  <dcterms:modified xsi:type="dcterms:W3CDTF">2024-12-17T21:40:00Z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